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9" w:firstLine="0"/>
        <w:rPr/>
      </w:pPr>
      <w:r w:rsidDel="00000000" w:rsidR="00000000" w:rsidRPr="00000000">
        <w:rPr/>
        <w:drawing>
          <wp:inline distB="0" distT="0" distL="0" distR="0">
            <wp:extent cx="6442206" cy="996719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2206" cy="9967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709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BASES Y CONDICIONES</w:t>
      </w:r>
    </w:p>
    <w:p w:rsidR="00000000" w:rsidDel="00000000" w:rsidP="00000000" w:rsidRDefault="00000000" w:rsidRPr="00000000" w14:paraId="00000003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  <w:t xml:space="preserve">El objetivo general del programa Empresa Estratégica es contribuir al desarrollo de las cadenas de valor de la Provincia de Río Negro, a través del apoyo crediticio a las empresas y emprendedores que tiendan al desarrollo de empleo, al aumento de la competitividad de sectores claves y al desarrollo de nuevas empresas con impacto productivo o diversificación.</w:t>
      </w:r>
    </w:p>
    <w:p w:rsidR="00000000" w:rsidDel="00000000" w:rsidP="00000000" w:rsidRDefault="00000000" w:rsidRPr="00000000" w14:paraId="00000004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  <w:t xml:space="preserve">Destinadas para aquellas pymes que se consideren estratégicas para el desarrollo de la estructura productiva provincial. Se incluirán todos los sectores: comercial, de servicios y productivos. </w:t>
      </w:r>
    </w:p>
    <w:p w:rsidR="00000000" w:rsidDel="00000000" w:rsidP="00000000" w:rsidRDefault="00000000" w:rsidRPr="00000000" w14:paraId="00000005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  <w:t xml:space="preserve">La empresa no deberá tener deuda vencida con la Agencia Provincial para el Desarrollo Económico Rionegrino CREAR u otro organismo de la Provincia de Río Negro y debran estar radicadas en la Provincia de Río Negro.  Así mismo, cabe aclarar que no podrán obtener un doble beneficio financiero bajo la misma línea crediticia.</w:t>
      </w:r>
    </w:p>
    <w:p w:rsidR="00000000" w:rsidDel="00000000" w:rsidP="00000000" w:rsidRDefault="00000000" w:rsidRPr="00000000" w14:paraId="00000006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  <w:t xml:space="preserve">Destino a Financiar: Adquisición de Bienes de Capital o Capital de Trabajo. Incluye la adquisición de activos intangibles (Patentes, etc.), no incluye mercadería para la reventa.</w:t>
      </w:r>
    </w:p>
    <w:p w:rsidR="00000000" w:rsidDel="00000000" w:rsidP="00000000" w:rsidRDefault="00000000" w:rsidRPr="00000000" w14:paraId="00000007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09" w:right="-568" w:firstLine="0"/>
        <w:jc w:val="both"/>
        <w:rPr/>
      </w:pPr>
      <w:r w:rsidDel="00000000" w:rsidR="00000000" w:rsidRPr="00000000">
        <w:rPr>
          <w:b w:val="1"/>
          <w:rtl w:val="0"/>
        </w:rPr>
        <w:t xml:space="preserve">CONDICIONES FINANCIERAS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9">
      <w:pPr>
        <w:ind w:left="-709" w:right="-568" w:firstLine="0"/>
        <w:jc w:val="both"/>
        <w:rPr/>
      </w:pPr>
      <w:r w:rsidDel="00000000" w:rsidR="00000000" w:rsidRPr="00000000">
        <w:rPr>
          <w:b w:val="1"/>
          <w:rtl w:val="0"/>
        </w:rPr>
        <w:t xml:space="preserve">TASA DE INTERÉS</w:t>
      </w:r>
      <w:r w:rsidDel="00000000" w:rsidR="00000000" w:rsidRPr="00000000">
        <w:rPr>
          <w:rtl w:val="0"/>
        </w:rPr>
        <w:t xml:space="preserve">: 15,3 % nominal anual fija. </w:t>
      </w:r>
    </w:p>
    <w:p w:rsidR="00000000" w:rsidDel="00000000" w:rsidP="00000000" w:rsidRDefault="00000000" w:rsidRPr="00000000" w14:paraId="0000000A">
      <w:pPr>
        <w:ind w:left="-709" w:right="-568" w:firstLine="0"/>
        <w:jc w:val="both"/>
        <w:rPr/>
      </w:pPr>
      <w:r w:rsidDel="00000000" w:rsidR="00000000" w:rsidRPr="00000000">
        <w:rPr>
          <w:b w:val="1"/>
          <w:rtl w:val="0"/>
        </w:rPr>
        <w:t xml:space="preserve">MONTO</w:t>
      </w:r>
      <w:r w:rsidDel="00000000" w:rsidR="00000000" w:rsidRPr="00000000">
        <w:rPr>
          <w:rtl w:val="0"/>
        </w:rPr>
        <w:t xml:space="preserve"> HASTA $500.000,00 – Monotributista a partir de la categoría “F” y Responsables Inscriptos con una Antigüedad mínima  en la actividad de dos (2) años.</w:t>
      </w:r>
    </w:p>
    <w:p w:rsidR="00000000" w:rsidDel="00000000" w:rsidP="00000000" w:rsidRDefault="00000000" w:rsidRPr="00000000" w14:paraId="0000000B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709" w:right="-568" w:firstLine="0"/>
        <w:jc w:val="both"/>
        <w:rPr/>
      </w:pPr>
      <w:r w:rsidDel="00000000" w:rsidR="00000000" w:rsidRPr="00000000">
        <w:rPr>
          <w:b w:val="1"/>
          <w:rtl w:val="0"/>
        </w:rPr>
        <w:t xml:space="preserve">PLAZOS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Plazo Total de devolución: 36 (TREINTA Y SEIS ) meses.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Amortización máxima: 30 (TREINTA) meses.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Plazo de Gracia: HASTA 6 (SEIS ) meses con pago de intereses .</w:t>
      </w:r>
    </w:p>
    <w:p w:rsidR="00000000" w:rsidDel="00000000" w:rsidP="00000000" w:rsidRDefault="00000000" w:rsidRPr="00000000" w14:paraId="00000010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Plazo Total de devolución: 48 (CUARENTA Y OCHO ) meses.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Amortización: 42 (CUARENTA Y DOS) meses.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Plazo de Gracia: HASTA 6 (SEIS ) meses con pago de intereses .</w:t>
      </w:r>
    </w:p>
    <w:p w:rsidR="00000000" w:rsidDel="00000000" w:rsidP="00000000" w:rsidRDefault="00000000" w:rsidRPr="00000000" w14:paraId="00000014">
      <w:pPr>
        <w:ind w:right="-568"/>
        <w:jc w:val="both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ind w:left="-709" w:right="-56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GARANTÍA: </w:t>
      </w:r>
      <w:r w:rsidDel="00000000" w:rsidR="00000000" w:rsidRPr="00000000">
        <w:rPr>
          <w:rtl w:val="0"/>
        </w:rPr>
        <w:t xml:space="preserve">Solidaria, de igual o mayor facturación / categoría de monotributo que el solicitante.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709" w:right="-56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FORMAS DE CANCELACIÓN: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Cuota: Mediante sistema francés (interés sobre saldos). El crédito puede cancelarse con anterioridad a los plazos antes mencionados.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Todos los plazos se aplican a partir de la efectivización del pago del crédito.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Moneda: El otorgamiento y cancelación del crédito se realizará en PESOS.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 de pago: Cancelación de la deuda con depósito a la cuenta del Fondo Fiduciario FOFDER.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Incobrabilidad: El crédito será considerado incobrable transcurrido 90 (noventa) días de la mora. Se faculta a Río Negro Fiduciaria SA  a efectuar la ejecución del documento de financiamiento conforme legislación vigencia.</w:t>
      </w:r>
    </w:p>
    <w:p w:rsidR="00000000" w:rsidDel="00000000" w:rsidP="00000000" w:rsidRDefault="00000000" w:rsidRPr="00000000" w14:paraId="0000001D">
      <w:pPr>
        <w:ind w:right="-56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709" w:right="-568" w:firstLine="0"/>
        <w:jc w:val="both"/>
        <w:rPr/>
      </w:pPr>
      <w:r w:rsidDel="00000000" w:rsidR="00000000" w:rsidRPr="00000000">
        <w:rPr>
          <w:b w:val="1"/>
          <w:rtl w:val="0"/>
        </w:rPr>
        <w:t xml:space="preserve">ITEMS NO FINANCIABLES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Refinanciación de créditos o pago de deudas; y/o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Pago de impuestos.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Pago de servicios públicos.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Pago de salarios.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Actividades NO financiables: Servicios Profesionales, haciendo la salvedad en financiar aquellos Profesionales que generen puestos de trabajo estables relacionado directamente con su actividad, bajo los siguientes destinos: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Compra de equipamiento que este relacionado a la actividad y contribuya a una mejora en el servicio prestado.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Instalación o ampliación de estudio o consultorio.</w:t>
      </w:r>
    </w:p>
    <w:p w:rsidR="00000000" w:rsidDel="00000000" w:rsidP="00000000" w:rsidRDefault="00000000" w:rsidRPr="00000000" w14:paraId="00000026">
      <w:pPr>
        <w:ind w:right="-568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“Quedando sujeto al informe local y la aprobación final de la Agencia Provincial”.</w:t>
      </w:r>
    </w:p>
    <w:p w:rsidR="00000000" w:rsidDel="00000000" w:rsidP="00000000" w:rsidRDefault="00000000" w:rsidRPr="00000000" w14:paraId="00000027">
      <w:pPr>
        <w:ind w:right="-56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709" w:right="-568" w:firstLine="0"/>
        <w:jc w:val="both"/>
        <w:rPr/>
      </w:pPr>
      <w:r w:rsidDel="00000000" w:rsidR="00000000" w:rsidRPr="00000000">
        <w:rPr>
          <w:b w:val="1"/>
          <w:rtl w:val="0"/>
        </w:rPr>
        <w:t xml:space="preserve">RENDICIÓN</w:t>
      </w:r>
      <w:r w:rsidDel="00000000" w:rsidR="00000000" w:rsidRPr="00000000">
        <w:rPr>
          <w:rtl w:val="0"/>
        </w:rPr>
        <w:t xml:space="preserve">: El beneficiario tomará el compromiso de rendir el destino del financiamiento una vez otorgado y utilizado para el fin que asumió bajo compromiso mediante los formularios preestablecidos por el programa firmados bajo declaración jurada. Esto implica la presentación de facturas / fotos / en caso De maquinaria usada boleto de compra venta certificado por ambas firmas,etc.</w:t>
      </w:r>
    </w:p>
    <w:p w:rsidR="00000000" w:rsidDel="00000000" w:rsidP="00000000" w:rsidRDefault="00000000" w:rsidRPr="00000000" w14:paraId="00000029">
      <w:pPr>
        <w:ind w:right="-568" w:hanging="70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709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709" w:right="-568" w:firstLine="0"/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709" w:right="-568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REQUISITOS A CUMPLIMENTAR</w:t>
      </w:r>
    </w:p>
    <w:p w:rsidR="00000000" w:rsidDel="00000000" w:rsidP="00000000" w:rsidRDefault="00000000" w:rsidRPr="00000000" w14:paraId="0000003A">
      <w:pPr>
        <w:spacing w:line="360" w:lineRule="auto"/>
        <w:ind w:right="-56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right="-56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REQUISITOS A CUMPLIMENTAR POR PERSONAS HUMANAS O SOCIEDADES DE LA SECCIÓN IV  DE LA LEY Nº  19.550: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Formularios y documentación anexa deberán encontrarse completas en su totalidad y suscriptas en cada hoja por el solicitante, con carácter de declaración jurada, digitalizadas en formato PDF.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 D.N.I. del solicitante y su cónyuge de corresponder.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Constancia de domicilio del solicitante mediante la presentación de un recibo de servicio público y/o certificado de domicilio expedido por autoridad competente.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Inscripción en AFIP (vigente) del solicitante.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Inscripción en Ingresos Brutos de la Provincia de Río Negro del solicitante y última declaración jurada anual.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Único de Libre deuda vigente expedido por la Agencia de Recaudación Tributaria de la Provincia de Río Negro Ley N° 4.798).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Últimas 2 (dos) Declaraciones Juradas de Ganancias, con su respectivo talón de pago.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Recibo de sueldo del solicitante y de su cónyuge, en caso de trabajar en relación de dependencia.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Facturas pro formas y/o presupuestos de los bienes a adquirir. Las pro formas deberán contener membrete y firma de las empresas emisoras.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Habilitaciones correspondientes al giro de la actividad de corresponder.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de propiedad del establecimiento, cesión de derechos, declaratoria de herederos, contrato de alquiler o comodato debidamente sellado por la ART R.N.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Situación BCRA.</w:t>
      </w:r>
    </w:p>
    <w:p w:rsidR="00000000" w:rsidDel="00000000" w:rsidP="00000000" w:rsidRDefault="00000000" w:rsidRPr="00000000" w14:paraId="00000048">
      <w:pPr>
        <w:spacing w:line="360" w:lineRule="auto"/>
        <w:ind w:right="-56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right="-56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REQUISITOS A CUMPLIMENTAR POR PERSONAS JURÍDICAS: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planillas y documentación anexa deberán encontrarse completas en su totalidad y suscriptas por el representante legal de la sociedad. con carácter de declaración jurada, digitalizadas en formato PDF.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 nómina del actual Directorio y/o Consejo de Administración o análogo y copia del Acta de Designación de sus integrantes actualizada.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Acto administrativo, otorgando la personería jurídica por parte de la Inspección General de Personas Jurídicas de la Provincia.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Estatuto de la sociedad (actualizado) y aprobado por la Inspección General de Personas Jurídicas.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Inscripción en el Registro Público de Comercio de su domicilio.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Acta de Asamblea o Directorio, según facultades estatutarias, autorizando la toma del crédito, gestor y garantía.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Últimos 2 (dos) balances presentados.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Inscripción en AFIP de la sociedad (vigente).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Certificado Único de Libre Deuda vigente otorgado por la Agencia de Recaudación Tributaria de la Provincia de Río Negro. Ley N° 4.798.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Últimos 2 (dos) Declaraciones Juradas de Ganancias, con su respectivo talón de pago.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Facturas pro formas y/o presupuestos de los bienes a adquirir, deberán contener membrete y firma de las empresas emisoras.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de propiedad del establecimiento o contrato de alquiler o comodato debidamente sellado por la ART R.N.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Situación BCRA.</w:t>
      </w:r>
    </w:p>
    <w:p w:rsidR="00000000" w:rsidDel="00000000" w:rsidP="00000000" w:rsidRDefault="00000000" w:rsidRPr="00000000" w14:paraId="00000057">
      <w:pPr>
        <w:spacing w:line="360" w:lineRule="auto"/>
        <w:ind w:left="-567" w:right="-56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ind w:right="-56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DOCUMENTACIÓN DEL GARANTE, TANTO PARA PERSONA FISICA COMO JURÍDICA (garante de igual o mayor categoría de monotributo/ facturación que el solicitante):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 DNI.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Certificación de domicilio.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-56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 recibo de sueldo y/o última declaración jurada de ingresos brutos. </w:t>
      </w:r>
    </w:p>
    <w:p w:rsidR="00000000" w:rsidDel="00000000" w:rsidP="00000000" w:rsidRDefault="00000000" w:rsidRPr="00000000" w14:paraId="0000005C">
      <w:pPr>
        <w:spacing w:line="360" w:lineRule="auto"/>
        <w:ind w:right="-56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360" w:lineRule="auto"/>
        <w:ind w:right="-568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139700</wp:posOffset>
                </wp:positionV>
                <wp:extent cx="6346190" cy="190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2905" y="3780000"/>
                          <a:ext cx="634619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139700</wp:posOffset>
                </wp:positionV>
                <wp:extent cx="6346190" cy="1905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19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E">
      <w:pPr>
        <w:ind w:left="-709" w:right="-568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Aprobado y desembolsado el crédito, el beneficiario deberá presentar digitalmente a la Agencia Local correspondiente, rendición del destino del financiamiento: facturas – fotos – boleto de compra venta (en el caso de maquinaria usada), etc.</w:t>
      </w:r>
    </w:p>
    <w:p w:rsidR="00000000" w:rsidDel="00000000" w:rsidP="00000000" w:rsidRDefault="00000000" w:rsidRPr="00000000" w14:paraId="0000005F">
      <w:pPr>
        <w:ind w:left="-709" w:right="-568" w:firstLine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38100</wp:posOffset>
                </wp:positionV>
                <wp:extent cx="6346190" cy="1905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2905" y="3780000"/>
                          <a:ext cx="634619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-431799</wp:posOffset>
                </wp:positionH>
                <wp:positionV relativeFrom="paragraph">
                  <wp:posOffset>38100</wp:posOffset>
                </wp:positionV>
                <wp:extent cx="6346190" cy="1905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619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17" w:top="709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31" w:hanging="360.00000000000006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31" w:hanging="360.00000000000006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31" w:hanging="360.00000000000006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1" w:hanging="360"/>
      </w:pPr>
      <w:rPr/>
    </w:lvl>
    <w:lvl w:ilvl="1">
      <w:start w:val="1"/>
      <w:numFmt w:val="bullet"/>
      <w:lvlText w:val="o"/>
      <w:lvlJc w:val="left"/>
      <w:pPr>
        <w:ind w:left="731" w:hanging="360.00000000000006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EF477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lKgwJatpgAd1NqjiCvIBFyBVA==">AMUW2mVXjMjBKgjypoCK7EK3Ysto0k34VGtfG0A1ylljpltdAmOtV4OAjvFszhfVOeOTRJWS36NmyggDgRGt//yY6mGdnjxwCsGyER9GTPysfwCcC8zxTaw=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2021-03-03T14:15:00Z</dcterms:created>
  <dc:creator>antonella mazzuchini</dc:creator>
</cp:coreProperties>
</file>